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9732B" w:rsidR="00AA035F" w:rsidP="00C9732B" w:rsidRDefault="00000000" w14:paraId="030A7DCD" w14:textId="77777777">
      <w:pPr>
        <w:spacing w:after="240"/>
        <w:jc w:val="center"/>
      </w:pPr>
      <w:r w:rsidRPr="00C9732B">
        <w:t>INFORME DE SUPERVISIÓN 15</w:t>
      </w:r>
    </w:p>
    <w:p w:rsidR="00AA035F" w:rsidP="2211511F" w:rsidRDefault="00000000" w14:paraId="4488D88C" w14:textId="68704F46">
      <w:pPr>
        <w:pStyle w:val="Normal"/>
        <w:spacing w:after="240" w:line="360" w:lineRule="auto"/>
        <w:jc w:val="both"/>
      </w:pPr>
      <w:r w:rsidR="15B8A58C">
        <w:rPr/>
        <w:t xml:space="preserve">El contratista Fabián Enrique Rodríguez Zabala hace entrega del informe de avance N.°15 del contrato 1731 de 2025 con soportes digitales de las actividades ejecutadas durante el periodo de la referencia, así: </w:t>
      </w:r>
      <w:r w:rsidRPr="2211511F" w:rsidR="15B8A58C">
        <w:rPr>
          <w:b w:val="1"/>
          <w:bCs w:val="1"/>
        </w:rPr>
        <w:t>1)</w:t>
      </w:r>
      <w:r w:rsidR="15B8A58C">
        <w:rPr/>
        <w:t xml:space="preserve"> Presentó el plan de trabajo para la ejecución de las actividades del contrato. </w:t>
      </w:r>
      <w:r w:rsidRPr="2211511F" w:rsidR="15B8A58C">
        <w:rPr>
          <w:b w:val="1"/>
          <w:bCs w:val="1"/>
        </w:rPr>
        <w:t>2)</w:t>
      </w:r>
      <w:r w:rsidR="15B8A58C">
        <w:rPr/>
        <w:t xml:space="preserve"> Realizó dos (2) actividades en el marco del POMCA Río Bogotá, correspondientes a la aceptación de las actividades de la ficha CAP 512 y la presentación del informe con sus respectivos anexos sobre las actividades ejecutadas durante las vigencias 2024 y 2025. </w:t>
      </w:r>
      <w:r w:rsidRPr="2211511F" w:rsidR="15B8A58C">
        <w:rPr>
          <w:b w:val="1"/>
          <w:bCs w:val="1"/>
        </w:rPr>
        <w:t>3)</w:t>
      </w:r>
      <w:r w:rsidR="15B8A58C">
        <w:rPr/>
        <w:t xml:space="preserve"> Participó en dos (2) mesas de trabajo del CECH en el marco del plan de acción 2024-2027, una para la actualización del censo de curtidores y otra para el fortalecimiento de capacidades. </w:t>
      </w:r>
      <w:r w:rsidRPr="2211511F" w:rsidR="15B8A58C">
        <w:rPr>
          <w:b w:val="1"/>
          <w:bCs w:val="1"/>
        </w:rPr>
        <w:t>4)</w:t>
      </w:r>
      <w:r w:rsidR="15B8A58C">
        <w:rPr/>
        <w:t xml:space="preserve"> Participó en tres (3) actividades de identificación de proyectos de economía circular para el sector curtidor de Villapinzón y Chocontá, incluyendo el análisis de tecnologías para una planta de tratamiento colectiva de aguas residuales bajo el esquema de Alianza Público-Privada (APP) y la articulación con la Fundación Universitaria Los Libertadores. </w:t>
      </w:r>
      <w:r w:rsidRPr="2211511F" w:rsidR="15B8A58C">
        <w:rPr>
          <w:b w:val="1"/>
          <w:bCs w:val="1"/>
        </w:rPr>
        <w:t>5)</w:t>
      </w:r>
      <w:r w:rsidR="15B8A58C">
        <w:rPr/>
        <w:t xml:space="preserve"> Realizó cinco (5) actividades de estructuración de proyectos de economía circular, mediante reunión con el Centro de Vida Sensorial de Villapinzón, llamadas para la convocatoria del proceso de fortalecimiento de capacidades, y visitas técnicas a curtiembres de Villapinzón y al Colegio Luis Antonio Escobar, en articulación con la Universidad Jorge Tadeo Lozano. </w:t>
      </w:r>
      <w:r w:rsidRPr="2211511F" w:rsidR="15B8A58C">
        <w:rPr>
          <w:b w:val="1"/>
          <w:bCs w:val="1"/>
        </w:rPr>
        <w:t>6)</w:t>
      </w:r>
      <w:r w:rsidR="15B8A58C">
        <w:rPr/>
        <w:t xml:space="preserve"> Presentó un (1) informe técnico del proyecto de aprovechamiento de retales de cuero de las curtiembres de </w:t>
      </w:r>
      <w:r w:rsidR="15B8A58C">
        <w:rPr/>
        <w:t>Leoviceldo</w:t>
      </w:r>
      <w:r w:rsidR="15B8A58C">
        <w:rPr/>
        <w:t xml:space="preserve"> Fernández y Leathercol para el desarrollo de talleres en la Casa Social de la Mujer del municipio El Colegio. </w:t>
      </w:r>
      <w:r w:rsidRPr="2211511F" w:rsidR="15B8A58C">
        <w:rPr>
          <w:b w:val="1"/>
          <w:bCs w:val="1"/>
        </w:rPr>
        <w:t>7)</w:t>
      </w:r>
      <w:r w:rsidR="15B8A58C">
        <w:rPr/>
        <w:t xml:space="preserve"> Realizó tres (3) visitas de seguimiento a proyectos de economía circular en los emprendimientos Lexa Accesorios (Sopó), Asociación </w:t>
      </w:r>
      <w:r w:rsidR="15B8A58C">
        <w:rPr/>
        <w:t>Disart</w:t>
      </w:r>
      <w:r w:rsidR="15B8A58C">
        <w:rPr/>
        <w:t xml:space="preserve"> (Cajicá) y la curtiembre de </w:t>
      </w:r>
      <w:r w:rsidR="15B8A58C">
        <w:rPr/>
        <w:t>Leoviceldo</w:t>
      </w:r>
      <w:r w:rsidR="15B8A58C">
        <w:rPr/>
        <w:t xml:space="preserve"> Fernández (Villapinzón).</w:t>
      </w:r>
      <w:r w:rsidR="2C141E57">
        <w:rPr/>
        <w:t xml:space="preserve"> Presentó un (1) informe técnico </w:t>
      </w:r>
      <w:r w:rsidR="2C141E57">
        <w:rPr/>
        <w:t>seguimiento</w:t>
      </w:r>
      <w:r w:rsidR="2C141E57">
        <w:rPr/>
        <w:t xml:space="preserve"> de proyectos de economía circular implementados en el año 2025</w:t>
      </w:r>
      <w:r w:rsidR="15B8A58C">
        <w:rPr/>
        <w:t xml:space="preserve"> </w:t>
      </w:r>
      <w:r w:rsidRPr="2211511F" w:rsidR="15B8A58C">
        <w:rPr>
          <w:b w:val="1"/>
          <w:bCs w:val="1"/>
        </w:rPr>
        <w:t>8)</w:t>
      </w:r>
      <w:r w:rsidR="15B8A58C">
        <w:rPr/>
        <w:t xml:space="preserve"> Participó en una (1) reunión de equipo en la Sede Central de la CAR para la evaluación del avance del proyecto de economía circular en los sectores panelero, textil, de residuos de construcción y curtidor. </w:t>
      </w:r>
      <w:r w:rsidRPr="2211511F" w:rsidR="15B8A58C">
        <w:rPr>
          <w:b w:val="1"/>
          <w:bCs w:val="1"/>
        </w:rPr>
        <w:t>9)</w:t>
      </w:r>
      <w:r w:rsidR="15B8A58C">
        <w:rPr/>
        <w:t xml:space="preserve"> Presentó un (1) reporte mensual de huella de carbono en cumplimiento de la cláusula Huella Verde. </w:t>
      </w:r>
      <w:r w:rsidRPr="2211511F" w:rsidR="15B8A58C">
        <w:rPr>
          <w:b w:val="1"/>
          <w:bCs w:val="1"/>
        </w:rPr>
        <w:t>10)</w:t>
      </w:r>
      <w:r w:rsidR="15B8A58C">
        <w:rPr/>
        <w:t>. Asimismo, presentó constancia de SIDCAR, cargue de información en SECOP II y evidencias de pago de seguridad social del periodo ejecutado.</w:t>
      </w:r>
    </w:p>
    <w:p w:rsidR="00AA035F" w:rsidP="00C9732B" w:rsidRDefault="00000000" w14:paraId="50E839BE" w14:textId="77777777">
      <w:pPr>
        <w:spacing w:after="240" w:line="360" w:lineRule="auto"/>
        <w:jc w:val="both"/>
      </w:pPr>
      <w:r>
        <w:t>Se recibe el presente informe de avance por parte de la supervisión, a satisfacción, acorde con el plan de trabajo, motivo por el cual autoriza el siguiente desembolso del contrato. Lo anterior está debidamente soportado con los formatos que la corporación tiene para ello. Presentó soporte de los pagos de salud, pensión y ARL del periodo contractual ejecutado.</w:t>
      </w:r>
    </w:p>
    <w:sectPr w:rsidR="00AA035F">
      <w:pgSz w:w="12240" w:h="15840" w:orient="portrait"/>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B683D"/>
    <w:multiLevelType w:val="hybridMultilevel"/>
    <w:tmpl w:val="77BA9600"/>
    <w:lvl w:ilvl="0" w:tplc="13064F9E">
      <w:start w:val="1"/>
      <w:numFmt w:val="bullet"/>
      <w:lvlText w:val="●"/>
      <w:lvlJc w:val="left"/>
      <w:pPr>
        <w:ind w:left="720" w:hanging="360"/>
      </w:pPr>
    </w:lvl>
    <w:lvl w:ilvl="1" w:tplc="CA780646">
      <w:start w:val="1"/>
      <w:numFmt w:val="bullet"/>
      <w:lvlText w:val="○"/>
      <w:lvlJc w:val="left"/>
      <w:pPr>
        <w:ind w:left="1440" w:hanging="360"/>
      </w:pPr>
    </w:lvl>
    <w:lvl w:ilvl="2" w:tplc="E864EE5A">
      <w:start w:val="1"/>
      <w:numFmt w:val="bullet"/>
      <w:lvlText w:val="■"/>
      <w:lvlJc w:val="left"/>
      <w:pPr>
        <w:ind w:left="2160" w:hanging="360"/>
      </w:pPr>
    </w:lvl>
    <w:lvl w:ilvl="3" w:tplc="ABB0E9F2">
      <w:start w:val="1"/>
      <w:numFmt w:val="bullet"/>
      <w:lvlText w:val="●"/>
      <w:lvlJc w:val="left"/>
      <w:pPr>
        <w:ind w:left="2880" w:hanging="360"/>
      </w:pPr>
    </w:lvl>
    <w:lvl w:ilvl="4" w:tplc="998E7F50">
      <w:start w:val="1"/>
      <w:numFmt w:val="bullet"/>
      <w:lvlText w:val="○"/>
      <w:lvlJc w:val="left"/>
      <w:pPr>
        <w:ind w:left="3600" w:hanging="360"/>
      </w:pPr>
    </w:lvl>
    <w:lvl w:ilvl="5" w:tplc="80FE0C3A">
      <w:start w:val="1"/>
      <w:numFmt w:val="bullet"/>
      <w:lvlText w:val="■"/>
      <w:lvlJc w:val="left"/>
      <w:pPr>
        <w:ind w:left="4320" w:hanging="360"/>
      </w:pPr>
    </w:lvl>
    <w:lvl w:ilvl="6" w:tplc="5720FFAC">
      <w:start w:val="1"/>
      <w:numFmt w:val="bullet"/>
      <w:lvlText w:val="●"/>
      <w:lvlJc w:val="left"/>
      <w:pPr>
        <w:ind w:left="5040" w:hanging="360"/>
      </w:pPr>
    </w:lvl>
    <w:lvl w:ilvl="7" w:tplc="F1AA8C50">
      <w:start w:val="1"/>
      <w:numFmt w:val="bullet"/>
      <w:lvlText w:val="●"/>
      <w:lvlJc w:val="left"/>
      <w:pPr>
        <w:ind w:left="5760" w:hanging="360"/>
      </w:pPr>
    </w:lvl>
    <w:lvl w:ilvl="8" w:tplc="66F2C2C8">
      <w:start w:val="1"/>
      <w:numFmt w:val="bullet"/>
      <w:lvlText w:val="●"/>
      <w:lvlJc w:val="left"/>
      <w:pPr>
        <w:ind w:left="6480" w:hanging="360"/>
      </w:pPr>
    </w:lvl>
  </w:abstractNum>
  <w:num w:numId="1" w16cid:durableId="26019117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35F"/>
    <w:rsid w:val="006C6BFE"/>
    <w:rsid w:val="00AA035F"/>
    <w:rsid w:val="00C9732B"/>
    <w:rsid w:val="15B8A58C"/>
    <w:rsid w:val="2211511F"/>
    <w:rsid w:val="2C141E57"/>
    <w:rsid w:val="5BC9CC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92799"/>
  <w15:docId w15:val="{535048FC-F2D6-4B3C-9838-C21EB3867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uiPriority w:val="9"/>
    <w:qFormat/>
    <w:pPr>
      <w:outlineLvl w:val="0"/>
    </w:pPr>
    <w:rPr>
      <w:color w:val="2E74B5"/>
      <w:sz w:val="32"/>
      <w:szCs w:val="32"/>
    </w:rPr>
  </w:style>
  <w:style w:type="paragraph" w:styleId="Ttulo2">
    <w:name w:val="heading 2"/>
    <w:uiPriority w:val="9"/>
    <w:semiHidden/>
    <w:unhideWhenUsed/>
    <w:qFormat/>
    <w:pPr>
      <w:outlineLvl w:val="1"/>
    </w:pPr>
    <w:rPr>
      <w:color w:val="2E74B5"/>
      <w:sz w:val="26"/>
      <w:szCs w:val="26"/>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tulo">
    <w:name w:val="Title"/>
    <w:uiPriority w:val="10"/>
    <w:qFormat/>
    <w:rPr>
      <w:sz w:val="56"/>
      <w:szCs w:val="56"/>
    </w:rPr>
  </w:style>
  <w:style w:type="paragraph" w:styleId="Textoennegrita1" w:customStyle="1">
    <w:name w:val="Texto en negrita1"/>
    <w:qFormat/>
    <w:rPr>
      <w:b/>
      <w:bCs/>
    </w:rPr>
  </w:style>
  <w:style w:type="paragraph" w:styleId="Prrafodelista">
    <w:name w:val="List Paragraph"/>
    <w:qFormat/>
  </w:style>
  <w:style w:type="character" w:styleId="Hipervnculo">
    <w:name w:val="Hyperlink"/>
    <w:uiPriority w:val="99"/>
    <w:unhideWhenUsed/>
    <w:rPr>
      <w:color w:val="0563C1"/>
      <w:u w:val="single"/>
    </w:rPr>
  </w:style>
  <w:style w:type="character" w:styleId="Refdenotaalpie">
    <w:name w:val="footnote reference"/>
    <w:uiPriority w:val="99"/>
    <w:semiHidden/>
    <w:unhideWhenUsed/>
    <w:rPr>
      <w:vertAlign w:val="superscript"/>
    </w:rPr>
  </w:style>
  <w:style w:type="paragraph" w:styleId="Textonotapie">
    <w:name w:val="footnote text"/>
    <w:link w:val="TextonotapieCar"/>
    <w:uiPriority w:val="99"/>
    <w:semiHidden/>
    <w:unhideWhenUsed/>
    <w:rPr>
      <w:sz w:val="20"/>
      <w:szCs w:val="20"/>
    </w:rPr>
  </w:style>
  <w:style w:type="character" w:styleId="TextonotapieCar" w:customStyle="1">
    <w:name w:val="Texto nota pie Car"/>
    <w:link w:val="Textonotapie"/>
    <w:uiPriority w:val="99"/>
    <w:semiHidden/>
    <w:unhideWhenUsed/>
    <w:rPr>
      <w:sz w:val="20"/>
      <w:szCs w:val="20"/>
    </w:rPr>
  </w:style>
  <w:style w:type="character" w:styleId="Refdenotaalfinal">
    <w:name w:val="endnote reference"/>
    <w:uiPriority w:val="99"/>
    <w:semiHidden/>
    <w:unhideWhenUsed/>
    <w:rPr>
      <w:vertAlign w:val="superscript"/>
    </w:rPr>
  </w:style>
  <w:style w:type="paragraph" w:styleId="Textonotaalfinal">
    <w:name w:val="endnote text"/>
    <w:link w:val="TextonotaalfinalCar"/>
    <w:uiPriority w:val="99"/>
    <w:semiHidden/>
    <w:unhideWhenUsed/>
    <w:rPr>
      <w:sz w:val="20"/>
      <w:szCs w:val="20"/>
    </w:rPr>
  </w:style>
  <w:style w:type="character" w:styleId="TextonotaalfinalCar" w:customStyle="1">
    <w:name w:val="Texto nota al final Car"/>
    <w:link w:val="Textonotaalfinal"/>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Fabian Enrique Zabala Rodriguez</lastModifiedBy>
  <revision>3</revision>
  <dcterms:created xsi:type="dcterms:W3CDTF">2026-05-07T02:39:00.0000000Z</dcterms:created>
  <dcterms:modified xsi:type="dcterms:W3CDTF">2026-05-13T00:47:46.0899781Z</dcterms:modified>
</coreProperties>
</file>